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theme/themeOverride5.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color w:val="4472C4" w:themeColor="accent1"/>
          <w14:textFill>
            <w14:solidFill>
              <w14:schemeClr w14:val="accent1"/>
            </w14:solidFill>
          </w14:textFill>
        </w:rPr>
        <w:id w:val="1425378228"/>
        <w:docPartObj>
          <w:docPartGallery w:val="AutoText"/>
        </w:docPartObj>
      </w:sdtPr>
      <w:sdtEndPr>
        <w:rPr>
          <w:rFonts w:ascii="Times New Roman" w:hAnsi="Times New Roman" w:cs="Times New Roman" w:eastAsiaTheme="minorHAnsi"/>
          <w:b/>
          <w:bCs/>
          <w:color w:val="auto"/>
          <w:sz w:val="24"/>
          <w:szCs w:val="24"/>
        </w:rPr>
      </w:sdtEndPr>
      <w:sdtContent>
        <w:p w14:paraId="6FD978AA">
          <w:pPr>
            <w:pStyle w:val="10"/>
            <w:spacing w:before="1540" w:after="240"/>
            <w:jc w:val="center"/>
            <w:rPr>
              <w:rFonts w:hint="default"/>
              <w:color w:val="4472C4" w:themeColor="accent1"/>
              <w:lang w:val="en-US"/>
              <w14:textFill>
                <w14:solidFill>
                  <w14:schemeClr w14:val="accent1"/>
                </w14:solidFill>
              </w14:textFill>
            </w:rPr>
          </w:pPr>
          <w:r>
            <w:rPr>
              <w:color w:val="4472C4" w:themeColor="accent1"/>
              <w14:textFill>
                <w14:solidFill>
                  <w14:schemeClr w14:val="accent1"/>
                </w14:solidFill>
              </w14:textFill>
            </w:rPr>
            <w:drawing>
              <wp:inline distT="0" distB="0" distL="0" distR="0">
                <wp:extent cx="1417320" cy="7505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color w:val="2F5597" w:themeColor="accent1" w:themeShade="BF"/>
              <w:sz w:val="48"/>
              <w:szCs w:val="48"/>
            </w:rPr>
            <w:alias w:val="Title"/>
            <w:id w:val="1735040861"/>
            <w:placeholder>
              <w:docPart w:val="0A1B5504532E41F4B35DD56527DE2B78"/>
            </w:placeholder>
            <w:dataBinding w:prefixMappings="xmlns:ns0='http://purl.org/dc/elements/1.1/' xmlns:ns1='http://schemas.openxmlformats.org/package/2006/metadata/core-properties' " w:xpath="/ns1:coreProperties[1]/ns0:title[1]" w:storeItemID="{6C3C8BC8-F283-45AE-878A-BAB7291924A1}"/>
            <w:text/>
          </w:sdtPr>
          <w:sdtEndPr>
            <w:rPr>
              <w:color w:val="2F5597" w:themeColor="accent1" w:themeShade="BF"/>
              <w:sz w:val="48"/>
              <w:szCs w:val="48"/>
            </w:rPr>
          </w:sdtEndPr>
          <w:sdtContent>
            <w:p w14:paraId="04F6FC4F">
              <w:pPr>
                <w:pStyle w:val="10"/>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2F5597" w:themeColor="accent1" w:themeShade="BF"/>
                  <w:sz w:val="48"/>
                  <w:szCs w:val="48"/>
                </w:rPr>
              </w:pPr>
              <w:r>
                <w:rPr>
                  <w:color w:val="2F5597" w:themeColor="accent1" w:themeShade="BF"/>
                  <w:sz w:val="48"/>
                  <w:szCs w:val="48"/>
                  <w:lang w:val="en-US"/>
                </w:rPr>
                <w:t>Analysis of Song Duration and Popularity Across Musical Genres</w:t>
              </w:r>
            </w:p>
          </w:sdtContent>
        </w:sdt>
        <w:sdt>
          <w:sdtPr>
            <w:rPr>
              <w:rFonts w:ascii="Times New Roman" w:hAnsi="Times New Roman" w:cs="Times New Roman"/>
              <w:caps/>
              <w:color w:val="4472C4" w:themeColor="accent1"/>
              <w:sz w:val="28"/>
              <w:szCs w:val="28"/>
              <w14:textFill>
                <w14:solidFill>
                  <w14:schemeClr w14:val="accent1"/>
                </w14:solidFill>
              </w14:textFill>
            </w:rPr>
            <w:alias w:val="Subtitle"/>
            <w:id w:val="328029620"/>
            <w:placeholder>
              <w:docPart w:val="FF1504892D274DFC884B76920AAF1E72"/>
            </w:placeholder>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caps/>
              <w:color w:val="4472C4" w:themeColor="accent1"/>
              <w:sz w:val="28"/>
              <w:szCs w:val="28"/>
              <w14:textFill>
                <w14:solidFill>
                  <w14:schemeClr w14:val="accent1"/>
                </w14:solidFill>
              </w14:textFill>
            </w:rPr>
          </w:sdtEndPr>
          <w:sdtContent>
            <w:p w14:paraId="123A2191">
              <w:pPr>
                <w:pStyle w:val="10"/>
                <w:jc w:val="center"/>
                <w:rPr>
                  <w:color w:val="4472C4" w:themeColor="accent1"/>
                  <w:sz w:val="28"/>
                  <w:szCs w:val="28"/>
                  <w14:textFill>
                    <w14:solidFill>
                      <w14:schemeClr w14:val="accent1"/>
                    </w14:solidFill>
                  </w14:textFill>
                </w:rPr>
              </w:pPr>
              <w:r>
                <w:rPr>
                  <w:rFonts w:ascii="Times New Roman" w:hAnsi="Times New Roman" w:cs="Times New Roman"/>
                  <w:caps/>
                  <w:color w:val="4472C4" w:themeColor="accent1"/>
                  <w:sz w:val="28"/>
                  <w:szCs w:val="28"/>
                  <w:lang w:val="en-US"/>
                  <w14:textFill>
                    <w14:solidFill>
                      <w14:schemeClr w14:val="accent1"/>
                    </w14:solidFill>
                  </w14:textFill>
                </w:rPr>
                <w:t>JULY 1, 2024</w:t>
              </w:r>
            </w:p>
          </w:sdtContent>
        </w:sdt>
        <w:p w14:paraId="5B267A5C">
          <w:pPr>
            <w:pStyle w:val="10"/>
            <w:spacing w:before="480"/>
            <w:jc w:val="center"/>
            <w:rPr>
              <w:color w:val="4472C4" w:themeColor="accent1"/>
              <w14:textFill>
                <w14:solidFill>
                  <w14:schemeClr w14:val="accent1"/>
                </w14:solidFill>
              </w14:textFill>
            </w:rPr>
          </w:pPr>
          <w:r>
            <w:rPr>
              <w:color w:val="4472C4"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BF14A">
                                <w:pPr>
                                  <w:pStyle w:val="10"/>
                                  <w:jc w:val="center"/>
                                  <w:rPr>
                                    <w:color w:val="4472C4" w:themeColor="accent1"/>
                                    <w14:textFill>
                                      <w14:solidFill>
                                        <w14:schemeClr w14:val="accent1"/>
                                      </w14:solidFill>
                                    </w14:textFill>
                                  </w:rPr>
                                </w:pPr>
                              </w:p>
                              <w:p w14:paraId="51348B0F">
                                <w:pPr>
                                  <w:pStyle w:val="10"/>
                                  <w:jc w:val="center"/>
                                  <w:rPr>
                                    <w:color w:val="4472C4" w:themeColor="accent1"/>
                                    <w14:textFill>
                                      <w14:solidFill>
                                        <w14:schemeClr w14:val="accent1"/>
                                      </w14:solidFill>
                                    </w14:textFill>
                                  </w:rPr>
                                </w:pPr>
                                <w:sdt>
                                  <w:sdtPr>
                                    <w:rPr>
                                      <w:color w:val="4472C4"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4472C4" w:themeColor="accent1"/>
                                      <w14:textFill>
                                        <w14:solidFill>
                                          <w14:schemeClr w14:val="accent1"/>
                                        </w14:solidFill>
                                      </w14:textFill>
                                    </w:rPr>
                                  </w:sdtEndPr>
                                  <w:sdtContent>
                                    <w:r>
                                      <w:rPr>
                                        <w:color w:val="4472C4"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72pt;margin-top:673.2pt;height:43.9pt;width:516pt;mso-position-horizontal-relative:page;mso-position-vertical-relative:page;z-index:251659264;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p w14:paraId="5C0BF14A">
                          <w:pPr>
                            <w:pStyle w:val="10"/>
                            <w:jc w:val="center"/>
                            <w:rPr>
                              <w:color w:val="4472C4" w:themeColor="accent1"/>
                              <w14:textFill>
                                <w14:solidFill>
                                  <w14:schemeClr w14:val="accent1"/>
                                </w14:solidFill>
                              </w14:textFill>
                            </w:rPr>
                          </w:pPr>
                        </w:p>
                        <w:p w14:paraId="51348B0F">
                          <w:pPr>
                            <w:pStyle w:val="10"/>
                            <w:jc w:val="center"/>
                            <w:rPr>
                              <w:color w:val="4472C4" w:themeColor="accent1"/>
                              <w14:textFill>
                                <w14:solidFill>
                                  <w14:schemeClr w14:val="accent1"/>
                                </w14:solidFill>
                              </w14:textFill>
                            </w:rPr>
                          </w:pPr>
                          <w:sdt>
                            <w:sdtPr>
                              <w:rPr>
                                <w:color w:val="4472C4"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4472C4" w:themeColor="accent1"/>
                                <w14:textFill>
                                  <w14:solidFill>
                                    <w14:schemeClr w14:val="accent1"/>
                                  </w14:solidFill>
                                </w14:textFill>
                              </w:rPr>
                            </w:sdtEndPr>
                            <w:sdtContent>
                              <w:r>
                                <w:rPr>
                                  <w:color w:val="4472C4" w:themeColor="accent1"/>
                                  <w14:textFill>
                                    <w14:solidFill>
                                      <w14:schemeClr w14:val="accent1"/>
                                    </w14:solidFill>
                                  </w14:textFill>
                                </w:rPr>
                                <w:t xml:space="preserve">     </w:t>
                              </w:r>
                            </w:sdtContent>
                          </w:sdt>
                        </w:p>
                      </w:txbxContent>
                    </v:textbox>
                  </v:shape>
                </w:pict>
              </mc:Fallback>
            </mc:AlternateContent>
          </w:r>
          <w:r>
            <w:rPr>
              <w:color w:val="4472C4" w:themeColor="accent1"/>
              <w14:textFill>
                <w14:solidFill>
                  <w14:schemeClr w14:val="accent1"/>
                </w14:solidFill>
              </w14:textFill>
            </w:rPr>
            <w:drawing>
              <wp:inline distT="0" distB="0" distL="0" distR="0">
                <wp:extent cx="758825" cy="47879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F7BCC6">
          <w:pPr>
            <w:pStyle w:val="10"/>
            <w:spacing w:before="480"/>
            <w:jc w:val="both"/>
            <w:rPr>
              <w:color w:val="4472C4" w:themeColor="accent1"/>
              <w14:textFill>
                <w14:solidFill>
                  <w14:schemeClr w14:val="accent1"/>
                </w14:solidFill>
              </w14:textFill>
            </w:rPr>
          </w:pPr>
        </w:p>
        <w:p w14:paraId="297AA562">
          <w:pPr>
            <w:pStyle w:val="10"/>
            <w:spacing w:before="480"/>
            <w:jc w:val="both"/>
            <w:rPr>
              <w:color w:val="4472C4" w:themeColor="accent1"/>
              <w14:textFill>
                <w14:solidFill>
                  <w14:schemeClr w14:val="accent1"/>
                </w14:solidFill>
              </w14:textFill>
            </w:rPr>
          </w:pPr>
        </w:p>
        <w:p w14:paraId="452276BF">
          <w:pPr>
            <w:ind w:firstLine="360" w:firstLineChars="15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cs="Times New Roman"/>
              <w:b/>
              <w:bCs/>
              <w:color w:val="44546A" w:themeColor="text2"/>
              <w:sz w:val="24"/>
              <w:szCs w:val="24"/>
              <w:lang w:val="en-US"/>
              <w14:textFill>
                <w14:solidFill>
                  <w14:schemeClr w14:val="tx2"/>
                </w14:solidFill>
              </w14:textFill>
            </w:rPr>
            <w:t>GROUP MEMEBERS</w:t>
          </w:r>
        </w:p>
        <w:p w14:paraId="09D58345">
          <w:pPr>
            <w:numPr>
              <w:ilvl w:val="0"/>
              <w:numId w:val="1"/>
            </w:numPr>
            <w:ind w:left="420" w:leftChars="0" w:hanging="420" w:firstLineChars="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cs="Times New Roman"/>
              <w:b/>
              <w:bCs/>
              <w:color w:val="44546A" w:themeColor="text2"/>
              <w:sz w:val="24"/>
              <w:szCs w:val="24"/>
              <w:lang w:val="en-US"/>
              <w14:textFill>
                <w14:solidFill>
                  <w14:schemeClr w14:val="tx2"/>
                </w14:solidFill>
              </w14:textFill>
            </w:rPr>
            <w:t>Quinta Achieng FAB/DV/01</w:t>
          </w:r>
        </w:p>
        <w:p w14:paraId="072E923F">
          <w:pPr>
            <w:numPr>
              <w:ilvl w:val="0"/>
              <w:numId w:val="1"/>
            </w:numPr>
            <w:ind w:left="420" w:leftChars="0" w:hanging="420" w:firstLineChars="0"/>
            <w:jc w:val="left"/>
            <w:rPr>
              <w:rFonts w:hint="default" w:ascii="Times New Roman" w:hAnsi="Times New Roman"/>
              <w:b/>
              <w:bCs/>
              <w:color w:val="44546A" w:themeColor="text2"/>
              <w:sz w:val="24"/>
              <w:szCs w:val="24"/>
              <w:lang w:val="en-US"/>
              <w14:textFill>
                <w14:solidFill>
                  <w14:schemeClr w14:val="tx2"/>
                </w14:solidFill>
              </w14:textFill>
            </w:rPr>
          </w:pPr>
          <w:r>
            <w:rPr>
              <w:rFonts w:hint="default" w:ascii="Times New Roman" w:hAnsi="Times New Roman"/>
              <w:b/>
              <w:bCs/>
              <w:color w:val="44546A" w:themeColor="text2"/>
              <w:sz w:val="24"/>
              <w:szCs w:val="24"/>
              <w:lang w:val="en-US"/>
              <w14:textFill>
                <w14:solidFill>
                  <w14:schemeClr w14:val="tx2"/>
                </w14:solidFill>
              </w14:textFill>
            </w:rPr>
            <w:t>Otieno Lilian  FAB/DV/07</w:t>
          </w:r>
        </w:p>
        <w:p w14:paraId="72288351">
          <w:pPr>
            <w:numPr>
              <w:ilvl w:val="0"/>
              <w:numId w:val="1"/>
            </w:numPr>
            <w:ind w:left="420" w:leftChars="0" w:hanging="420" w:firstLineChars="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b/>
              <w:bCs/>
              <w:color w:val="44546A" w:themeColor="text2"/>
              <w:sz w:val="24"/>
              <w:szCs w:val="24"/>
              <w:lang w:val="en-US"/>
              <w14:textFill>
                <w14:solidFill>
                  <w14:schemeClr w14:val="tx2"/>
                </w14:solidFill>
              </w14:textFill>
            </w:rPr>
            <w:t>Rhoda Kiige FAB/DV/08</w:t>
          </w:r>
        </w:p>
        <w:p w14:paraId="42ED6430">
          <w:pPr>
            <w:numPr>
              <w:ilvl w:val="0"/>
              <w:numId w:val="1"/>
            </w:numPr>
            <w:ind w:left="420" w:leftChars="0" w:hanging="420" w:firstLineChars="0"/>
            <w:jc w:val="left"/>
            <w:rPr>
              <w:rFonts w:hint="default" w:ascii="Times New Roman" w:hAnsi="Times New Roman" w:eastAsiaTheme="minorHAnsi"/>
              <w:b/>
              <w:bCs/>
              <w:color w:val="44546A" w:themeColor="text2"/>
              <w:sz w:val="24"/>
              <w:szCs w:val="24"/>
              <w14:textFill>
                <w14:solidFill>
                  <w14:schemeClr w14:val="tx2"/>
                </w14:solidFill>
              </w14:textFill>
            </w:rPr>
          </w:pPr>
          <w:r>
            <w:rPr>
              <w:rFonts w:hint="default" w:ascii="Times New Roman" w:hAnsi="Times New Roman" w:eastAsiaTheme="minorHAnsi"/>
              <w:b/>
              <w:bCs/>
              <w:color w:val="44546A" w:themeColor="text2"/>
              <w:sz w:val="24"/>
              <w:szCs w:val="24"/>
              <w14:textFill>
                <w14:solidFill>
                  <w14:schemeClr w14:val="tx2"/>
                </w14:solidFill>
              </w14:textFill>
            </w:rPr>
            <w:t>Branice Awino FAB/D</w:t>
          </w:r>
          <w:r>
            <w:rPr>
              <w:rFonts w:hint="default" w:ascii="Times New Roman" w:hAnsi="Times New Roman"/>
              <w:b/>
              <w:bCs/>
              <w:color w:val="44546A" w:themeColor="text2"/>
              <w:sz w:val="24"/>
              <w:szCs w:val="24"/>
              <w:lang w:val="en-US"/>
              <w14:textFill>
                <w14:solidFill>
                  <w14:schemeClr w14:val="tx2"/>
                </w14:solidFill>
              </w14:textFill>
            </w:rPr>
            <w:t>V</w:t>
          </w:r>
          <w:r>
            <w:rPr>
              <w:rFonts w:hint="default" w:ascii="Times New Roman" w:hAnsi="Times New Roman" w:eastAsiaTheme="minorHAnsi"/>
              <w:b/>
              <w:bCs/>
              <w:color w:val="44546A" w:themeColor="text2"/>
              <w:sz w:val="24"/>
              <w:szCs w:val="24"/>
              <w14:textFill>
                <w14:solidFill>
                  <w14:schemeClr w14:val="tx2"/>
                </w14:solidFill>
              </w14:textFill>
            </w:rPr>
            <w:t>/06</w:t>
          </w:r>
        </w:p>
        <w:p w14:paraId="0118F463">
          <w:pPr>
            <w:numPr>
              <w:ilvl w:val="0"/>
              <w:numId w:val="1"/>
            </w:numPr>
            <w:ind w:left="420" w:leftChars="0" w:hanging="420" w:firstLineChars="0"/>
            <w:jc w:val="left"/>
            <w:rPr>
              <w:rFonts w:hint="default" w:ascii="Times New Roman" w:hAnsi="Times New Roman" w:eastAsiaTheme="minorHAnsi"/>
              <w:b/>
              <w:bCs/>
              <w:color w:val="44546A" w:themeColor="text2"/>
              <w:sz w:val="24"/>
              <w:szCs w:val="24"/>
              <w14:textFill>
                <w14:solidFill>
                  <w14:schemeClr w14:val="tx2"/>
                </w14:solidFill>
              </w14:textFill>
            </w:rPr>
          </w:pPr>
          <w:r>
            <w:rPr>
              <w:rFonts w:hint="default" w:ascii="Times New Roman" w:hAnsi="Times New Roman" w:eastAsiaTheme="minorHAnsi"/>
              <w:b/>
              <w:bCs/>
              <w:color w:val="44546A" w:themeColor="text2"/>
              <w:sz w:val="24"/>
              <w:szCs w:val="24"/>
              <w14:textFill>
                <w14:solidFill>
                  <w14:schemeClr w14:val="tx2"/>
                </w14:solidFill>
              </w14:textFill>
            </w:rPr>
            <w:t>Leah Achieng FAB/DV/09</w:t>
          </w:r>
        </w:p>
        <w:p w14:paraId="72E06B4E">
          <w:pPr>
            <w:numPr>
              <w:ilvl w:val="0"/>
              <w:numId w:val="1"/>
            </w:numPr>
            <w:ind w:left="420" w:leftChars="0" w:hanging="420" w:firstLineChars="0"/>
            <w:jc w:val="left"/>
            <w:rPr>
              <w:rFonts w:ascii="Times New Roman" w:hAnsi="Times New Roman" w:cs="Times New Roman"/>
              <w:b/>
              <w:bCs/>
              <w:sz w:val="24"/>
              <w:szCs w:val="24"/>
            </w:rPr>
          </w:pPr>
          <w:r>
            <w:rPr>
              <w:rFonts w:hint="default" w:ascii="Times New Roman" w:hAnsi="Times New Roman" w:eastAsiaTheme="minorHAnsi"/>
              <w:b/>
              <w:bCs/>
              <w:color w:val="44546A" w:themeColor="text2"/>
              <w:sz w:val="24"/>
              <w:szCs w:val="24"/>
              <w14:textFill>
                <w14:solidFill>
                  <w14:schemeClr w14:val="tx2"/>
                </w14:solidFill>
              </w14:textFill>
            </w:rPr>
            <w:t>Daniel Habil FAB/DV/031</w:t>
          </w:r>
          <w:r>
            <w:rPr>
              <w:rFonts w:ascii="Times New Roman" w:hAnsi="Times New Roman" w:cs="Times New Roman"/>
              <w:b/>
              <w:bCs/>
              <w:sz w:val="24"/>
              <w:szCs w:val="24"/>
            </w:rPr>
            <w:br w:type="page"/>
          </w:r>
        </w:p>
      </w:sdtContent>
    </w:sdt>
    <w:p w14:paraId="2295419F">
      <w:pPr>
        <w:rPr>
          <w:rFonts w:ascii="Times New Roman" w:hAnsi="Times New Roman" w:cs="Times New Roman"/>
          <w:b/>
          <w:bCs/>
          <w:sz w:val="24"/>
          <w:szCs w:val="24"/>
        </w:rPr>
      </w:pPr>
    </w:p>
    <w:p w14:paraId="502AD862">
      <w:pPr>
        <w:rPr>
          <w:rFonts w:ascii="Times New Roman" w:hAnsi="Times New Roman" w:cs="Times New Roman"/>
          <w:b/>
          <w:bCs/>
          <w:sz w:val="24"/>
          <w:szCs w:val="24"/>
        </w:rPr>
      </w:pPr>
    </w:p>
    <w:p w14:paraId="73011DD4">
      <w:pPr>
        <w:rPr>
          <w:rFonts w:ascii="Times New Roman" w:hAnsi="Times New Roman" w:cs="Times New Roman"/>
          <w:b/>
          <w:bCs/>
          <w:sz w:val="24"/>
          <w:szCs w:val="24"/>
        </w:rPr>
      </w:pPr>
      <w:r>
        <w:rPr>
          <w:rFonts w:ascii="Times New Roman" w:hAnsi="Times New Roman" w:cs="Times New Roman"/>
          <w:b/>
          <w:bCs/>
          <w:sz w:val="24"/>
          <w:szCs w:val="24"/>
        </w:rPr>
        <w:t>Music Genre Analysis Report</w:t>
      </w:r>
    </w:p>
    <w:p w14:paraId="0CE23D5D">
      <w:pPr>
        <w:rPr>
          <w:rFonts w:ascii="Times New Roman" w:hAnsi="Times New Roman" w:cs="Times New Roman"/>
          <w:b/>
          <w:bCs/>
          <w:sz w:val="24"/>
          <w:szCs w:val="24"/>
        </w:rPr>
      </w:pPr>
      <w:r>
        <w:rPr>
          <w:rFonts w:ascii="Times New Roman" w:hAnsi="Times New Roman" w:cs="Times New Roman"/>
          <w:b/>
          <w:bCs/>
          <w:sz w:val="24"/>
          <w:szCs w:val="24"/>
        </w:rPr>
        <w:t>Overview:</w:t>
      </w:r>
    </w:p>
    <w:p w14:paraId="6598EB33">
      <w:pPr>
        <w:rPr>
          <w:rFonts w:ascii="Times New Roman" w:hAnsi="Times New Roman" w:cs="Times New Roman"/>
          <w:sz w:val="24"/>
          <w:szCs w:val="24"/>
        </w:rPr>
      </w:pPr>
      <w:r>
        <w:rPr>
          <w:rFonts w:ascii="Times New Roman" w:hAnsi="Times New Roman" w:cs="Times New Roman"/>
          <w:sz w:val="24"/>
          <w:szCs w:val="24"/>
        </w:rPr>
        <w:t xml:space="preserve">This report summarizes the popularity, release count, and duration statistics of various music genres over two decades. The analysis provides insights into trends and patterns across different genres, helping to understand changes in the music landscape. </w:t>
      </w:r>
    </w:p>
    <w:p w14:paraId="20F27A96">
      <w:pPr>
        <w:rPr>
          <w:rFonts w:ascii="Times New Roman" w:hAnsi="Times New Roman" w:cs="Times New Roman"/>
          <w:sz w:val="24"/>
          <w:szCs w:val="24"/>
        </w:rPr>
      </w:pPr>
    </w:p>
    <w:p w14:paraId="5D697C3B">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Release Summary (Count of Releases by Genre)</w:t>
      </w:r>
    </w:p>
    <w:p w14:paraId="00006096">
      <w:pPr>
        <w:rPr>
          <w:rFonts w:ascii="Times New Roman" w:hAnsi="Times New Roman" w:cs="Times New Roman"/>
          <w:sz w:val="24"/>
          <w:szCs w:val="24"/>
        </w:rPr>
      </w:pPr>
    </w:p>
    <w:p w14:paraId="2F030C3C">
      <w:pPr>
        <w:rPr>
          <w:rFonts w:ascii="Times New Roman" w:hAnsi="Times New Roman" w:cs="Times New Roman"/>
          <w:b/>
          <w:bCs/>
          <w:sz w:val="24"/>
          <w:szCs w:val="24"/>
        </w:rPr>
      </w:pPr>
      <w:r>
        <w:rPr>
          <w:rFonts w:ascii="Times New Roman" w:hAnsi="Times New Roman" w:cs="Times New Roman"/>
          <w:b/>
          <w:bCs/>
          <w:sz w:val="24"/>
          <w:szCs w:val="24"/>
        </w:rPr>
        <w:t>First Decade Release Summary (Count of Releases by Genre)</w:t>
      </w:r>
    </w:p>
    <w:p w14:paraId="48EC17AD">
      <w:pPr>
        <w:rPr>
          <w:rFonts w:ascii="Times New Roman" w:hAnsi="Times New Roman" w:cs="Times New Roman"/>
          <w:b/>
          <w:bCs/>
          <w:sz w:val="24"/>
          <w:szCs w:val="24"/>
        </w:rPr>
      </w:pPr>
    </w:p>
    <w:p w14:paraId="7EF55155">
      <w:pPr>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4171950" cy="19431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3940271">
      <w:pPr>
        <w:rPr>
          <w:rFonts w:ascii="Times New Roman" w:hAnsi="Times New Roman" w:cs="Times New Roman"/>
          <w:b/>
          <w:bCs/>
          <w:sz w:val="24"/>
          <w:szCs w:val="24"/>
        </w:rPr>
      </w:pPr>
      <w:r>
        <w:rPr>
          <w:rFonts w:ascii="Times New Roman" w:hAnsi="Times New Roman" w:cs="Times New Roman"/>
          <w:b/>
          <w:bCs/>
          <w:sz w:val="24"/>
          <w:szCs w:val="24"/>
        </w:rPr>
        <w:t>Second Decade Release Summary (Count of Releases by Genre):</w:t>
      </w: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4124325" cy="2209800"/>
            <wp:effectExtent l="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86B6673">
      <w:pPr>
        <w:rPr>
          <w:rFonts w:ascii="Times New Roman" w:hAnsi="Times New Roman" w:cs="Times New Roman"/>
          <w:sz w:val="24"/>
          <w:szCs w:val="24"/>
        </w:rPr>
      </w:pPr>
    </w:p>
    <w:p w14:paraId="69F716EB">
      <w:pPr>
        <w:rPr>
          <w:rFonts w:ascii="Times New Roman" w:hAnsi="Times New Roman" w:cs="Times New Roman"/>
          <w:sz w:val="24"/>
          <w:szCs w:val="24"/>
        </w:rPr>
      </w:pPr>
    </w:p>
    <w:p w14:paraId="27E1CA2F">
      <w:pPr>
        <w:rPr>
          <w:rFonts w:ascii="Times New Roman" w:hAnsi="Times New Roman" w:cs="Times New Roman"/>
          <w:sz w:val="24"/>
          <w:szCs w:val="24"/>
        </w:rPr>
      </w:pPr>
    </w:p>
    <w:p w14:paraId="1D60940B">
      <w:pPr>
        <w:rPr>
          <w:rFonts w:ascii="Times New Roman" w:hAnsi="Times New Roman" w:cs="Times New Roman"/>
          <w:sz w:val="24"/>
          <w:szCs w:val="24"/>
        </w:rPr>
      </w:pPr>
    </w:p>
    <w:p w14:paraId="5F2148E6">
      <w:pPr>
        <w:rPr>
          <w:rFonts w:ascii="Times New Roman" w:hAnsi="Times New Roman" w:cs="Times New Roman"/>
          <w:sz w:val="24"/>
          <w:szCs w:val="24"/>
        </w:rPr>
      </w:pPr>
    </w:p>
    <w:p w14:paraId="7F69AF0C">
      <w:pPr>
        <w:rPr>
          <w:rFonts w:ascii="Times New Roman" w:hAnsi="Times New Roman" w:cs="Times New Roman"/>
          <w:b/>
          <w:bCs/>
          <w:sz w:val="24"/>
          <w:szCs w:val="24"/>
        </w:rPr>
      </w:pPr>
      <w:r>
        <w:rPr>
          <w:rFonts w:ascii="Times New Roman" w:hAnsi="Times New Roman" w:cs="Times New Roman"/>
          <w:b/>
          <w:bCs/>
          <w:sz w:val="24"/>
          <w:szCs w:val="24"/>
        </w:rPr>
        <w:t>Combined Release Summary (Count of Releases by Genre)</w:t>
      </w:r>
    </w:p>
    <w:p w14:paraId="3E9B8A77">
      <w:pPr>
        <w:rPr>
          <w:rFonts w:ascii="Times New Roman" w:hAnsi="Times New Roman" w:cs="Times New Roman"/>
          <w:b/>
          <w:bCs/>
          <w:sz w:val="24"/>
          <w:szCs w:val="24"/>
        </w:rPr>
      </w:pPr>
    </w:p>
    <w:p w14:paraId="745BE64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600700"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00700" cy="2762250"/>
                    </a:xfrm>
                    <a:prstGeom prst="rect">
                      <a:avLst/>
                    </a:prstGeom>
                  </pic:spPr>
                </pic:pic>
              </a:graphicData>
            </a:graphic>
          </wp:inline>
        </w:drawing>
      </w:r>
    </w:p>
    <w:p w14:paraId="00BADADA">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572125" cy="323850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2E4E2AD">
      <w:pPr>
        <w:rPr>
          <w:rFonts w:ascii="Times New Roman" w:hAnsi="Times New Roman" w:cs="Times New Roman"/>
          <w:sz w:val="24"/>
          <w:szCs w:val="24"/>
        </w:rPr>
      </w:pPr>
    </w:p>
    <w:p w14:paraId="3CB0691B">
      <w:pPr>
        <w:rPr>
          <w:rFonts w:ascii="Times New Roman" w:hAnsi="Times New Roman" w:cs="Times New Roman"/>
          <w:b/>
          <w:bCs/>
          <w:sz w:val="24"/>
          <w:szCs w:val="24"/>
          <w:u w:val="single"/>
        </w:rPr>
      </w:pPr>
      <w:r>
        <w:rPr>
          <w:rFonts w:ascii="Times New Roman" w:hAnsi="Times New Roman" w:cs="Times New Roman"/>
          <w:b/>
          <w:bCs/>
          <w:sz w:val="24"/>
          <w:szCs w:val="24"/>
          <w:u w:val="single"/>
        </w:rPr>
        <w:t>Conclusion</w:t>
      </w:r>
    </w:p>
    <w:p w14:paraId="2B6889D6">
      <w:pPr>
        <w:rPr>
          <w:rFonts w:ascii="Times New Roman" w:hAnsi="Times New Roman" w:cs="Times New Roman"/>
          <w:sz w:val="24"/>
          <w:szCs w:val="24"/>
        </w:rPr>
      </w:pPr>
      <w:r>
        <w:rPr>
          <w:rFonts w:ascii="Times New Roman" w:hAnsi="Times New Roman" w:cs="Times New Roman"/>
          <w:sz w:val="24"/>
          <w:szCs w:val="24"/>
        </w:rPr>
        <w:t>The number of releases for all genres decreased in the second decade compared to the first. Blues saw a significant drop from 2,762 to 2,339 releases, while Classical and Country also experienced declines to 2,394 and 2,470 releases, respectively. Pop and Hip-Hop had slight decreases, and Rock experienced a notable decrease from 2,580 to 2,286 releases.</w:t>
      </w:r>
    </w:p>
    <w:p w14:paraId="1E65B39F">
      <w:pPr>
        <w:rPr>
          <w:rFonts w:ascii="Times New Roman" w:hAnsi="Times New Roman" w:cs="Times New Roman"/>
          <w:b/>
          <w:bCs/>
          <w:sz w:val="24"/>
          <w:szCs w:val="24"/>
          <w:u w:val="single"/>
        </w:rPr>
      </w:pPr>
      <w:r>
        <w:rPr>
          <w:rFonts w:ascii="Times New Roman" w:hAnsi="Times New Roman" w:cs="Times New Roman"/>
          <w:b/>
          <w:bCs/>
          <w:sz w:val="24"/>
          <w:szCs w:val="24"/>
          <w:u w:val="single"/>
        </w:rPr>
        <w:t>Recommendation</w:t>
      </w:r>
    </w:p>
    <w:p w14:paraId="3E34EAA5">
      <w:pPr>
        <w:pStyle w:val="9"/>
        <w:numPr>
          <w:ilvl w:val="0"/>
          <w:numId w:val="2"/>
        </w:numPr>
        <w:rPr>
          <w:rFonts w:ascii="Times New Roman" w:hAnsi="Times New Roman" w:cs="Times New Roman"/>
          <w:sz w:val="24"/>
          <w:szCs w:val="24"/>
        </w:rPr>
      </w:pPr>
      <w:r>
        <w:rPr>
          <w:rFonts w:ascii="Times New Roman" w:hAnsi="Times New Roman" w:cs="Times New Roman"/>
          <w:sz w:val="24"/>
          <w:szCs w:val="24"/>
        </w:rPr>
        <w:t xml:space="preserve">Enhance audience engagement through social media, live performances, and other interactive platforms to maintain and grow interest in various genres. </w:t>
      </w:r>
    </w:p>
    <w:p w14:paraId="6303D03A">
      <w:pPr>
        <w:pStyle w:val="9"/>
        <w:numPr>
          <w:ilvl w:val="0"/>
          <w:numId w:val="2"/>
        </w:numPr>
        <w:rPr>
          <w:rFonts w:ascii="Times New Roman" w:hAnsi="Times New Roman" w:cs="Times New Roman"/>
          <w:sz w:val="24"/>
          <w:szCs w:val="24"/>
        </w:rPr>
      </w:pPr>
      <w:r>
        <w:rPr>
          <w:rFonts w:ascii="Times New Roman" w:hAnsi="Times New Roman" w:cs="Times New Roman"/>
          <w:sz w:val="24"/>
          <w:szCs w:val="24"/>
        </w:rPr>
        <w:t>Provide more support and resources for artists, particularly in genres that have seen a decline, to encourage more releases and creativity.</w:t>
      </w:r>
    </w:p>
    <w:p w14:paraId="0B1BC98C">
      <w:pPr>
        <w:rPr>
          <w:rFonts w:ascii="Times New Roman" w:hAnsi="Times New Roman" w:cs="Times New Roman"/>
          <w:sz w:val="24"/>
          <w:szCs w:val="24"/>
        </w:rPr>
      </w:pPr>
    </w:p>
    <w:p w14:paraId="019241B5">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Popularity Summary (Sum of Popularity by Genre)</w:t>
      </w:r>
    </w:p>
    <w:p w14:paraId="63350F9E">
      <w:pPr>
        <w:rPr>
          <w:rFonts w:ascii="Times New Roman" w:hAnsi="Times New Roman" w:cs="Times New Roman"/>
          <w:b/>
          <w:bCs/>
          <w:sz w:val="24"/>
          <w:szCs w:val="24"/>
        </w:rPr>
      </w:pPr>
    </w:p>
    <w:p w14:paraId="29E39100">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81295"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3857" cy="2449054"/>
                    </a:xfrm>
                    <a:prstGeom prst="rect">
                      <a:avLst/>
                    </a:prstGeom>
                  </pic:spPr>
                </pic:pic>
              </a:graphicData>
            </a:graphic>
          </wp:inline>
        </w:drawing>
      </w:r>
    </w:p>
    <w:p w14:paraId="187A648C">
      <w:pPr>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5281295" cy="2771775"/>
            <wp:effectExtent l="0" t="0" r="1460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D49B58C">
      <w:pPr>
        <w:rPr>
          <w:rFonts w:ascii="Times New Roman" w:hAnsi="Times New Roman" w:cs="Times New Roman"/>
          <w:b/>
          <w:bCs/>
          <w:sz w:val="24"/>
          <w:szCs w:val="24"/>
          <w:u w:val="single"/>
        </w:rPr>
      </w:pPr>
      <w:r>
        <w:rPr>
          <w:rFonts w:ascii="Times New Roman" w:hAnsi="Times New Roman" w:cs="Times New Roman"/>
          <w:b/>
          <w:bCs/>
          <w:sz w:val="24"/>
          <w:szCs w:val="24"/>
          <w:u w:val="single"/>
        </w:rPr>
        <w:t>Conclusion</w:t>
      </w:r>
    </w:p>
    <w:p w14:paraId="70F87C23">
      <w:pPr>
        <w:rPr>
          <w:rFonts w:ascii="Times New Roman" w:hAnsi="Times New Roman" w:cs="Times New Roman"/>
          <w:sz w:val="24"/>
          <w:szCs w:val="24"/>
          <w:u w:val="single"/>
        </w:rPr>
      </w:pPr>
      <w:r>
        <w:rPr>
          <w:rFonts w:ascii="Times New Roman" w:hAnsi="Times New Roman" w:cs="Times New Roman"/>
          <w:sz w:val="24"/>
          <w:szCs w:val="24"/>
          <w:shd w:val="clear" w:color="auto" w:fill="FFFFFF"/>
        </w:rPr>
        <w:t>The total popularity scores for all genres decreased in the second decade compared to the first. Blues: Experienced a significant decrease in popularity from 136,816 to 115,783. Classical and Country: Both saw a decline, with Classical reducing to 121,022 and Country to 125,286. Pop and Hip-Hop: Both genres also saw declines, with Pop dropping to 119,628 and Hip-Hop to 118,806. Reggae: Experienced a lesser decline in popularity compared to other genres.</w:t>
      </w:r>
    </w:p>
    <w:p w14:paraId="08857F4C">
      <w:pPr>
        <w:rPr>
          <w:rFonts w:ascii="Times New Roman" w:hAnsi="Times New Roman" w:cs="Times New Roman"/>
          <w:sz w:val="24"/>
          <w:szCs w:val="24"/>
          <w:u w:val="single"/>
        </w:rPr>
      </w:pPr>
    </w:p>
    <w:p w14:paraId="6DCB09A1">
      <w:pPr>
        <w:rPr>
          <w:rFonts w:ascii="Times New Roman" w:hAnsi="Times New Roman" w:cs="Times New Roman"/>
          <w:b/>
          <w:bCs/>
          <w:sz w:val="24"/>
          <w:szCs w:val="24"/>
          <w:u w:val="single"/>
        </w:rPr>
      </w:pPr>
      <w:r>
        <w:rPr>
          <w:rFonts w:ascii="Times New Roman" w:hAnsi="Times New Roman" w:cs="Times New Roman"/>
          <w:b/>
          <w:bCs/>
          <w:sz w:val="24"/>
          <w:szCs w:val="24"/>
          <w:u w:val="single"/>
        </w:rPr>
        <w:t>Recommendation</w:t>
      </w:r>
    </w:p>
    <w:p w14:paraId="1ADFA837">
      <w:pPr>
        <w:pStyle w:val="9"/>
        <w:numPr>
          <w:ilvl w:val="0"/>
          <w:numId w:val="3"/>
        </w:numPr>
        <w:rPr>
          <w:rFonts w:ascii="Times New Roman" w:hAnsi="Times New Roman" w:cs="Times New Roman"/>
          <w:sz w:val="24"/>
          <w:szCs w:val="24"/>
        </w:rPr>
      </w:pPr>
      <w:r>
        <w:rPr>
          <w:rFonts w:ascii="Times New Roman" w:hAnsi="Times New Roman" w:cs="Times New Roman"/>
          <w:sz w:val="24"/>
          <w:szCs w:val="24"/>
        </w:rPr>
        <w:t>Strengthen marketing efforts for genres with significant declines to revitalize their popularity.</w:t>
      </w:r>
    </w:p>
    <w:p w14:paraId="2D96A68A">
      <w:pPr>
        <w:pStyle w:val="9"/>
        <w:numPr>
          <w:ilvl w:val="0"/>
          <w:numId w:val="3"/>
        </w:numPr>
        <w:rPr>
          <w:rFonts w:ascii="Times New Roman" w:hAnsi="Times New Roman" w:cs="Times New Roman"/>
          <w:sz w:val="24"/>
          <w:szCs w:val="24"/>
        </w:rPr>
      </w:pPr>
      <w:r>
        <w:rPr>
          <w:rFonts w:ascii="Times New Roman" w:hAnsi="Times New Roman" w:cs="Times New Roman"/>
          <w:sz w:val="24"/>
          <w:szCs w:val="24"/>
        </w:rPr>
        <w:t>Invest in understanding and leveraging current music trends and consumer behaviors to boost genre popularity.</w:t>
      </w:r>
    </w:p>
    <w:p w14:paraId="41681824">
      <w:pPr>
        <w:rPr>
          <w:rFonts w:ascii="Times New Roman" w:hAnsi="Times New Roman" w:cs="Times New Roman"/>
          <w:sz w:val="24"/>
          <w:szCs w:val="24"/>
        </w:rPr>
      </w:pPr>
    </w:p>
    <w:p w14:paraId="1457E501">
      <w:pPr>
        <w:rPr>
          <w:rFonts w:ascii="Times New Roman" w:hAnsi="Times New Roman" w:cs="Times New Roman"/>
          <w:sz w:val="24"/>
          <w:szCs w:val="24"/>
        </w:rPr>
      </w:pPr>
    </w:p>
    <w:p w14:paraId="7E7F7DB3">
      <w:pPr>
        <w:rPr>
          <w:rFonts w:ascii="Times New Roman" w:hAnsi="Times New Roman" w:cs="Times New Roman"/>
          <w:b/>
          <w:bCs/>
          <w:sz w:val="24"/>
          <w:szCs w:val="24"/>
        </w:rPr>
      </w:pPr>
    </w:p>
    <w:p w14:paraId="1638D57F">
      <w:pPr>
        <w:rPr>
          <w:rFonts w:ascii="Times New Roman" w:hAnsi="Times New Roman" w:cs="Times New Roman"/>
          <w:b/>
          <w:bCs/>
          <w:sz w:val="24"/>
          <w:szCs w:val="24"/>
        </w:rPr>
      </w:pPr>
    </w:p>
    <w:p w14:paraId="00197005">
      <w:pPr>
        <w:rPr>
          <w:rFonts w:ascii="Times New Roman" w:hAnsi="Times New Roman" w:cs="Times New Roman"/>
          <w:b/>
          <w:bCs/>
          <w:sz w:val="24"/>
          <w:szCs w:val="24"/>
        </w:rPr>
      </w:pPr>
    </w:p>
    <w:p w14:paraId="5890931C">
      <w:pPr>
        <w:rPr>
          <w:rFonts w:ascii="Times New Roman" w:hAnsi="Times New Roman" w:cs="Times New Roman"/>
          <w:b/>
          <w:bCs/>
          <w:sz w:val="24"/>
          <w:szCs w:val="24"/>
        </w:rPr>
      </w:pPr>
    </w:p>
    <w:p w14:paraId="6CD17796">
      <w:pPr>
        <w:rPr>
          <w:rFonts w:ascii="Times New Roman" w:hAnsi="Times New Roman" w:cs="Times New Roman"/>
          <w:b/>
          <w:bCs/>
          <w:sz w:val="24"/>
          <w:szCs w:val="24"/>
        </w:rPr>
      </w:pPr>
    </w:p>
    <w:p w14:paraId="3ACA31FC">
      <w:pPr>
        <w:rPr>
          <w:rFonts w:ascii="Times New Roman" w:hAnsi="Times New Roman" w:cs="Times New Roman"/>
          <w:b/>
          <w:bCs/>
          <w:sz w:val="24"/>
          <w:szCs w:val="24"/>
        </w:rPr>
      </w:pPr>
    </w:p>
    <w:p w14:paraId="7AD48B00">
      <w:pPr>
        <w:rPr>
          <w:rFonts w:ascii="Times New Roman" w:hAnsi="Times New Roman" w:cs="Times New Roman"/>
          <w:b/>
          <w:bCs/>
          <w:sz w:val="24"/>
          <w:szCs w:val="24"/>
        </w:rPr>
      </w:pPr>
    </w:p>
    <w:p w14:paraId="428548D2">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Duration Summary (Duration by Popularity)</w:t>
      </w:r>
    </w:p>
    <w:p w14:paraId="65FCDF41">
      <w:pPr>
        <w:rPr>
          <w:rFonts w:ascii="Times New Roman" w:hAnsi="Times New Roman" w:cs="Times New Roman"/>
          <w:sz w:val="24"/>
          <w:szCs w:val="24"/>
        </w:rPr>
      </w:pPr>
      <w:r>
        <w:rPr>
          <w:rFonts w:ascii="Times New Roman" w:hAnsi="Times New Roman" w:cs="Times New Roman"/>
          <w:sz w:val="24"/>
          <w:szCs w:val="24"/>
        </w:rPr>
        <w:t>df.head(20)</w:t>
      </w:r>
    </w:p>
    <w:p w14:paraId="1DF1F16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181600" cy="4276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81600" cy="4276725"/>
                    </a:xfrm>
                    <a:prstGeom prst="rect">
                      <a:avLst/>
                    </a:prstGeom>
                  </pic:spPr>
                </pic:pic>
              </a:graphicData>
            </a:graphic>
          </wp:inline>
        </w:drawing>
      </w:r>
    </w:p>
    <w:p w14:paraId="26DCAEC4">
      <w:pPr>
        <w:rPr>
          <w:rFonts w:ascii="Times New Roman" w:hAnsi="Times New Roman" w:cs="Times New Roman"/>
          <w:sz w:val="24"/>
          <w:szCs w:val="24"/>
        </w:rPr>
      </w:pPr>
    </w:p>
    <w:p w14:paraId="7AFB3FB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1435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6D32981">
      <w:pPr>
        <w:rPr>
          <w:rFonts w:ascii="Times New Roman" w:hAnsi="Times New Roman" w:cs="Times New Roman"/>
          <w:sz w:val="24"/>
          <w:szCs w:val="24"/>
        </w:rPr>
      </w:pPr>
    </w:p>
    <w:p w14:paraId="1166F87A">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2AF3AE60">
      <w:pPr>
        <w:pStyle w:val="9"/>
        <w:numPr>
          <w:ilvl w:val="0"/>
          <w:numId w:val="4"/>
        </w:numPr>
        <w:rPr>
          <w:rFonts w:ascii="Times New Roman" w:hAnsi="Times New Roman" w:cs="Times New Roman"/>
          <w:sz w:val="24"/>
          <w:szCs w:val="24"/>
        </w:rPr>
      </w:pPr>
      <w:r>
        <w:rPr>
          <w:rFonts w:ascii="Times New Roman" w:hAnsi="Times New Roman" w:cs="Times New Roman"/>
          <w:sz w:val="24"/>
          <w:szCs w:val="24"/>
        </w:rPr>
        <w:t>On average, the duration of the content is about 209.74 minutes. This indicates that most of your content is relatively long, though there is variability in individual durations.</w:t>
      </w:r>
    </w:p>
    <w:p w14:paraId="61756380">
      <w:pPr>
        <w:rPr>
          <w:rFonts w:ascii="Times New Roman" w:hAnsi="Times New Roman" w:cs="Times New Roman"/>
          <w:sz w:val="24"/>
          <w:szCs w:val="24"/>
        </w:rPr>
      </w:pPr>
    </w:p>
    <w:p w14:paraId="68F882F5">
      <w:pPr>
        <w:pStyle w:val="9"/>
        <w:numPr>
          <w:ilvl w:val="0"/>
          <w:numId w:val="4"/>
        </w:numPr>
        <w:rPr>
          <w:rFonts w:ascii="Times New Roman" w:hAnsi="Times New Roman" w:cs="Times New Roman"/>
          <w:sz w:val="24"/>
          <w:szCs w:val="24"/>
        </w:rPr>
      </w:pPr>
      <w:r>
        <w:rPr>
          <w:rFonts w:ascii="Times New Roman" w:hAnsi="Times New Roman" w:cs="Times New Roman"/>
          <w:sz w:val="24"/>
          <w:szCs w:val="24"/>
        </w:rPr>
        <w:t>On average, the popularity score is around 50.26. This suggests a moderate level of engagement or interest in the content.</w:t>
      </w:r>
    </w:p>
    <w:p w14:paraId="42ADD698">
      <w:pPr>
        <w:rPr>
          <w:rFonts w:ascii="Times New Roman" w:hAnsi="Times New Roman" w:cs="Times New Roman"/>
          <w:sz w:val="24"/>
          <w:szCs w:val="24"/>
          <w:u w:val="single"/>
        </w:rPr>
      </w:pPr>
    </w:p>
    <w:p w14:paraId="5AC3BE40">
      <w:pPr>
        <w:rPr>
          <w:rFonts w:ascii="Times New Roman" w:hAnsi="Times New Roman" w:cs="Times New Roman"/>
          <w:sz w:val="24"/>
          <w:szCs w:val="24"/>
          <w:u w:val="single"/>
        </w:rPr>
      </w:pPr>
      <w:r>
        <w:rPr>
          <w:rFonts w:ascii="Times New Roman" w:hAnsi="Times New Roman" w:cs="Times New Roman"/>
          <w:sz w:val="24"/>
          <w:szCs w:val="24"/>
          <w:u w:val="single"/>
        </w:rPr>
        <w:t>Recommendation</w:t>
      </w:r>
    </w:p>
    <w:p w14:paraId="12D7CDEA">
      <w:pPr>
        <w:pStyle w:val="9"/>
        <w:numPr>
          <w:ilvl w:val="0"/>
          <w:numId w:val="5"/>
        </w:numPr>
        <w:rPr>
          <w:rFonts w:ascii="Times New Roman" w:hAnsi="Times New Roman" w:cs="Times New Roman"/>
          <w:sz w:val="24"/>
          <w:szCs w:val="24"/>
        </w:rPr>
      </w:pPr>
      <w:r>
        <w:rPr>
          <w:rFonts w:ascii="Times New Roman" w:hAnsi="Times New Roman" w:cs="Times New Roman"/>
          <w:sz w:val="24"/>
          <w:szCs w:val="24"/>
        </w:rPr>
        <w:t xml:space="preserve">Identify factors that contribute to higher popularity. Analyze the characteristics of content with above-average popularity and apply similar strategies to other content. </w:t>
      </w:r>
    </w:p>
    <w:p w14:paraId="251E3E95">
      <w:pPr>
        <w:pStyle w:val="9"/>
        <w:rPr>
          <w:rFonts w:ascii="Times New Roman" w:hAnsi="Times New Roman" w:cs="Times New Roman"/>
          <w:sz w:val="24"/>
          <w:szCs w:val="24"/>
        </w:rPr>
      </w:pPr>
    </w:p>
    <w:p w14:paraId="1B9B3D0C">
      <w:pPr>
        <w:pStyle w:val="9"/>
        <w:numPr>
          <w:ilvl w:val="0"/>
          <w:numId w:val="5"/>
        </w:numPr>
        <w:rPr>
          <w:rFonts w:ascii="Times New Roman" w:hAnsi="Times New Roman" w:cs="Times New Roman"/>
          <w:sz w:val="24"/>
          <w:szCs w:val="24"/>
        </w:rPr>
      </w:pPr>
      <w:r>
        <w:rPr>
          <w:rFonts w:ascii="Times New Roman" w:hAnsi="Times New Roman" w:cs="Times New Roman"/>
          <w:sz w:val="24"/>
          <w:szCs w:val="24"/>
        </w:rPr>
        <w:t>Continuously monitor and analyze both duration and popularity to identify trends and make data-driven adjustments to content strategy.</w:t>
      </w:r>
    </w:p>
    <w:p w14:paraId="75C79CBC">
      <w:pPr>
        <w:pStyle w:val="9"/>
        <w:rPr>
          <w:rFonts w:ascii="Times New Roman" w:hAnsi="Times New Roman" w:cs="Times New Roman"/>
          <w:sz w:val="24"/>
          <w:szCs w:val="24"/>
        </w:rPr>
      </w:pPr>
    </w:p>
    <w:p w14:paraId="07B64026">
      <w:pPr>
        <w:rPr>
          <w:rFonts w:ascii="Times New Roman" w:hAnsi="Times New Roman" w:cs="Times New Roman"/>
          <w:sz w:val="24"/>
          <w:szCs w:val="24"/>
        </w:rPr>
      </w:pPr>
    </w:p>
    <w:p w14:paraId="4D8941F1">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Duration Summary (Duration by Genre)</w:t>
      </w:r>
    </w:p>
    <w:p w14:paraId="69291695">
      <w:pPr>
        <w:rPr>
          <w:rFonts w:ascii="Times New Roman" w:hAnsi="Times New Roman" w:cs="Times New Roman"/>
          <w:b/>
          <w:bCs/>
          <w:sz w:val="24"/>
          <w:szCs w:val="24"/>
        </w:rPr>
      </w:pPr>
    </w:p>
    <w:p w14:paraId="3E43E3DC">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00650" cy="261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00650" cy="2619375"/>
                    </a:xfrm>
                    <a:prstGeom prst="rect">
                      <a:avLst/>
                    </a:prstGeom>
                  </pic:spPr>
                </pic:pic>
              </a:graphicData>
            </a:graphic>
          </wp:inline>
        </w:drawing>
      </w:r>
    </w:p>
    <w:p w14:paraId="64853C77">
      <w:pPr>
        <w:rPr>
          <w:rFonts w:ascii="Times New Roman" w:hAnsi="Times New Roman" w:cs="Times New Roman"/>
          <w:sz w:val="24"/>
          <w:szCs w:val="24"/>
        </w:rPr>
      </w:pPr>
    </w:p>
    <w:p w14:paraId="44727737">
      <w:pPr>
        <w:rPr>
          <w:rFonts w:ascii="Times New Roman" w:hAnsi="Times New Roman" w:cs="Times New Roman"/>
          <w:sz w:val="24"/>
          <w:szCs w:val="24"/>
        </w:rPr>
      </w:pPr>
    </w:p>
    <w:p w14:paraId="787FBE06">
      <w:pPr>
        <w:rPr>
          <w:rFonts w:ascii="Times New Roman" w:hAnsi="Times New Roman" w:cs="Times New Roman"/>
          <w:sz w:val="24"/>
          <w:szCs w:val="24"/>
        </w:rPr>
      </w:pPr>
    </w:p>
    <w:p w14:paraId="209FB813">
      <w:pPr>
        <w:rPr>
          <w:rFonts w:ascii="Times New Roman" w:hAnsi="Times New Roman" w:cs="Times New Roman"/>
          <w:sz w:val="24"/>
          <w:szCs w:val="24"/>
        </w:rPr>
      </w:pPr>
      <w:r>
        <w:drawing>
          <wp:inline distT="0" distB="0" distL="114300" distR="114300">
            <wp:extent cx="5107940" cy="2916555"/>
            <wp:effectExtent l="0" t="0" r="16510" b="171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7"/>
                    <a:stretch>
                      <a:fillRect/>
                    </a:stretch>
                  </pic:blipFill>
                  <pic:spPr>
                    <a:xfrm>
                      <a:off x="0" y="0"/>
                      <a:ext cx="5107940" cy="2916555"/>
                    </a:xfrm>
                    <a:prstGeom prst="rect">
                      <a:avLst/>
                    </a:prstGeom>
                    <a:noFill/>
                    <a:ln>
                      <a:noFill/>
                    </a:ln>
                  </pic:spPr>
                </pic:pic>
              </a:graphicData>
            </a:graphic>
          </wp:inline>
        </w:drawing>
      </w:r>
      <w:bookmarkStart w:id="0" w:name="_GoBack"/>
      <w:bookmarkEnd w:id="0"/>
    </w:p>
    <w:p w14:paraId="02CF8437">
      <w:pPr>
        <w:rPr>
          <w:rFonts w:ascii="Times New Roman" w:hAnsi="Times New Roman" w:cs="Times New Roman"/>
          <w:sz w:val="24"/>
          <w:szCs w:val="24"/>
          <w:u w:val="single"/>
        </w:rPr>
      </w:pPr>
    </w:p>
    <w:p w14:paraId="1C711B2E">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3A406202">
      <w:pPr>
        <w:rPr>
          <w:rFonts w:ascii="Times New Roman" w:hAnsi="Times New Roman" w:cs="Times New Roman"/>
          <w:sz w:val="24"/>
          <w:szCs w:val="24"/>
        </w:rPr>
      </w:pPr>
      <w:r>
        <w:rPr>
          <w:rFonts w:ascii="Times New Roman" w:hAnsi="Times New Roman" w:cs="Times New Roman"/>
          <w:sz w:val="24"/>
          <w:szCs w:val="24"/>
        </w:rPr>
        <w:t xml:space="preserve">The average </w:t>
      </w:r>
      <w:r>
        <w:rPr>
          <w:rFonts w:ascii="Times New Roman" w:hAnsi="Times New Roman" w:cs="Times New Roman"/>
          <w:sz w:val="24"/>
          <w:szCs w:val="24"/>
          <w:lang w:val="en-US"/>
        </w:rPr>
        <w:t>duration</w:t>
      </w:r>
      <w:r>
        <w:rPr>
          <w:rFonts w:ascii="Times New Roman" w:hAnsi="Times New Roman" w:cs="Times New Roman"/>
          <w:sz w:val="24"/>
          <w:szCs w:val="24"/>
        </w:rPr>
        <w:t xml:space="preserve"> are quite close to each other, suggesting that content length is relatively uniform across genres.</w:t>
      </w:r>
    </w:p>
    <w:p w14:paraId="55203C1B">
      <w:pPr>
        <w:rPr>
          <w:rFonts w:ascii="Times New Roman" w:hAnsi="Times New Roman" w:cs="Times New Roman"/>
          <w:sz w:val="24"/>
          <w:szCs w:val="24"/>
        </w:rPr>
      </w:pPr>
      <w:r>
        <w:rPr>
          <w:rFonts w:ascii="Times New Roman" w:hAnsi="Times New Roman" w:cs="Times New Roman"/>
          <w:sz w:val="24"/>
          <w:szCs w:val="24"/>
        </w:rPr>
        <w:t>The maximum duration of 300 minutes is consistent for all genres, which could indicate a standard or ceiling for content length.</w:t>
      </w:r>
    </w:p>
    <w:p w14:paraId="538E3583">
      <w:pPr>
        <w:rPr>
          <w:rFonts w:ascii="Times New Roman" w:hAnsi="Times New Roman" w:cs="Times New Roman"/>
          <w:sz w:val="24"/>
          <w:szCs w:val="24"/>
          <w:u w:val="single"/>
        </w:rPr>
      </w:pPr>
      <w:r>
        <w:rPr>
          <w:rFonts w:ascii="Times New Roman" w:hAnsi="Times New Roman" w:cs="Times New Roman"/>
          <w:sz w:val="24"/>
          <w:szCs w:val="24"/>
          <w:u w:val="single"/>
        </w:rPr>
        <w:t>Recommendation</w:t>
      </w:r>
    </w:p>
    <w:p w14:paraId="3ABD7FF1">
      <w:pPr>
        <w:pStyle w:val="9"/>
        <w:numPr>
          <w:ilvl w:val="0"/>
          <w:numId w:val="6"/>
        </w:numPr>
        <w:rPr>
          <w:rFonts w:ascii="Times New Roman" w:hAnsi="Times New Roman" w:cs="Times New Roman"/>
          <w:sz w:val="24"/>
          <w:szCs w:val="24"/>
        </w:rPr>
      </w:pPr>
      <w:r>
        <w:rPr>
          <w:rFonts w:ascii="Times New Roman" w:hAnsi="Times New Roman" w:cs="Times New Roman"/>
          <w:sz w:val="24"/>
          <w:szCs w:val="24"/>
        </w:rPr>
        <w:t xml:space="preserve">Given the consistency in average </w:t>
      </w:r>
      <w:r>
        <w:rPr>
          <w:rFonts w:ascii="Times New Roman" w:hAnsi="Times New Roman" w:cs="Times New Roman"/>
          <w:sz w:val="24"/>
          <w:szCs w:val="24"/>
          <w:lang w:val="en-US"/>
        </w:rPr>
        <w:t>duration</w:t>
      </w:r>
      <w:r>
        <w:rPr>
          <w:rFonts w:ascii="Times New Roman" w:hAnsi="Times New Roman" w:cs="Times New Roman"/>
          <w:sz w:val="24"/>
          <w:szCs w:val="24"/>
        </w:rPr>
        <w:t>, content strategies can be genre-specific if certain genres benefit from longer or shorter formats.</w:t>
      </w:r>
    </w:p>
    <w:p w14:paraId="1D99C192">
      <w:pPr>
        <w:pStyle w:val="9"/>
        <w:numPr>
          <w:ilvl w:val="0"/>
          <w:numId w:val="6"/>
        </w:numPr>
        <w:rPr>
          <w:rFonts w:ascii="Times New Roman" w:hAnsi="Times New Roman" w:cs="Times New Roman"/>
          <w:sz w:val="24"/>
          <w:szCs w:val="24"/>
        </w:rPr>
      </w:pPr>
      <w:r>
        <w:rPr>
          <w:rFonts w:ascii="Times New Roman" w:hAnsi="Times New Roman" w:cs="Times New Roman"/>
          <w:sz w:val="24"/>
          <w:szCs w:val="24"/>
        </w:rPr>
        <w:t>To optimize content, consider exploring other attributes like engagement or popularity specific to each genre.</w:t>
      </w:r>
    </w:p>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B11939"/>
    <w:multiLevelType w:val="singleLevel"/>
    <w:tmpl w:val="C4B119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877BCD"/>
    <w:multiLevelType w:val="multilevel"/>
    <w:tmpl w:val="03877B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122E84"/>
    <w:multiLevelType w:val="multilevel"/>
    <w:tmpl w:val="05122E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2D7ED1"/>
    <w:multiLevelType w:val="multilevel"/>
    <w:tmpl w:val="0B2D7E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86F0268"/>
    <w:multiLevelType w:val="multilevel"/>
    <w:tmpl w:val="486F02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C02231B"/>
    <w:multiLevelType w:val="multilevel"/>
    <w:tmpl w:val="7C0223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8F5"/>
    <w:rsid w:val="002839DC"/>
    <w:rsid w:val="00297D8A"/>
    <w:rsid w:val="003A42CB"/>
    <w:rsid w:val="005A47B1"/>
    <w:rsid w:val="005B6186"/>
    <w:rsid w:val="006730F8"/>
    <w:rsid w:val="00722EE4"/>
    <w:rsid w:val="007F2527"/>
    <w:rsid w:val="00A31F9F"/>
    <w:rsid w:val="00A65D27"/>
    <w:rsid w:val="00C878F5"/>
    <w:rsid w:val="00D55991"/>
    <w:rsid w:val="00E32265"/>
    <w:rsid w:val="11B10DF8"/>
    <w:rsid w:val="73AA2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8"/>
    <w:unhideWhenUsed/>
    <w:uiPriority w:val="99"/>
    <w:pPr>
      <w:tabs>
        <w:tab w:val="center" w:pos="4680"/>
        <w:tab w:val="right" w:pos="9360"/>
      </w:tabs>
      <w:spacing w:after="0" w:line="240" w:lineRule="auto"/>
    </w:pPr>
  </w:style>
  <w:style w:type="paragraph" w:styleId="5">
    <w:name w:val="header"/>
    <w:basedOn w:val="1"/>
    <w:link w:val="7"/>
    <w:unhideWhenUsed/>
    <w:uiPriority w:val="99"/>
    <w:pPr>
      <w:tabs>
        <w:tab w:val="center" w:pos="4680"/>
        <w:tab w:val="right" w:pos="9360"/>
      </w:tabs>
      <w:spacing w:after="0" w:line="240" w:lineRule="auto"/>
    </w:pPr>
  </w:style>
  <w:style w:type="table" w:styleId="6">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Header Char"/>
    <w:basedOn w:val="2"/>
    <w:link w:val="5"/>
    <w:uiPriority w:val="99"/>
  </w:style>
  <w:style w:type="character" w:customStyle="1" w:styleId="8">
    <w:name w:val="Footer Char"/>
    <w:basedOn w:val="2"/>
    <w:link w:val="4"/>
    <w:uiPriority w:val="99"/>
  </w:style>
  <w:style w:type="paragraph" w:styleId="9">
    <w:name w:val="List Paragraph"/>
    <w:basedOn w:val="1"/>
    <w:qFormat/>
    <w:uiPriority w:val="34"/>
    <w:pPr>
      <w:ind w:left="720"/>
      <w:contextualSpacing/>
    </w:pPr>
  </w:style>
  <w:style w:type="paragraph" w:styleId="10">
    <w:name w:val="No Spacing"/>
    <w:link w:val="1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1">
    <w:name w:val="No Spacing Char"/>
    <w:basedOn w:val="2"/>
    <w:link w:val="10"/>
    <w:uiPriority w:val="1"/>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8" Type="http://schemas.openxmlformats.org/officeDocument/2006/relationships/chart" Target="charts/chart1.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glossaryDocument" Target="glossary/document.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chart" Target="charts/chart5.xml"/><Relationship Id="rId14" Type="http://schemas.openxmlformats.org/officeDocument/2006/relationships/image" Target="media/image5.jpeg"/><Relationship Id="rId13" Type="http://schemas.openxmlformats.org/officeDocument/2006/relationships/chart" Target="charts/chart4.xml"/><Relationship Id="rId12" Type="http://schemas.openxmlformats.org/officeDocument/2006/relationships/image" Target="media/image4.jpeg"/><Relationship Id="rId11" Type="http://schemas.openxmlformats.org/officeDocument/2006/relationships/chart" Target="charts/chart3.xml"/><Relationship Id="rId10" Type="http://schemas.openxmlformats.org/officeDocument/2006/relationships/image" Target="media/image3.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4.xml"/><Relationship Id="rId3" Type="http://schemas.microsoft.com/office/2011/relationships/chartStyle" Target="style4.xml"/><Relationship Id="rId2" Type="http://schemas.openxmlformats.org/officeDocument/2006/relationships/themeOverride" Target="../theme/themeOverride4.xml"/><Relationship Id="rId1" Type="http://schemas.openxmlformats.org/officeDocument/2006/relationships/package" Target="../embeddings/Workbook3.xlsx"/></Relationships>
</file>

<file path=word/charts/_rels/chart2.xml.rels><?xml version="1.0" encoding="UTF-8" standalone="yes"?>
<Relationships xmlns="http://schemas.openxmlformats.org/package/2006/relationships"><Relationship Id="rId4" Type="http://schemas.microsoft.com/office/2011/relationships/chartColorStyle" Target="colors5.xml"/><Relationship Id="rId3" Type="http://schemas.microsoft.com/office/2011/relationships/chartStyle" Target="style5.xml"/><Relationship Id="rId2" Type="http://schemas.openxmlformats.org/officeDocument/2006/relationships/themeOverride" Target="../theme/themeOverride5.xml"/><Relationship Id="rId1" Type="http://schemas.openxmlformats.org/officeDocument/2006/relationships/package" Target="../embeddings/Workbook4.xlsx"/></Relationships>
</file>

<file path=word/charts/_rels/chart3.xml.rels><?xml version="1.0" encoding="UTF-8" standalone="yes"?>
<Relationships xmlns="http://schemas.openxmlformats.org/package/2006/relationships"><Relationship Id="rId4" Type="http://schemas.microsoft.com/office/2011/relationships/chartColorStyle" Target="colors3.xml"/><Relationship Id="rId3" Type="http://schemas.microsoft.com/office/2011/relationships/chartStyle" Target="style3.xml"/><Relationship Id="rId2" Type="http://schemas.openxmlformats.org/officeDocument/2006/relationships/themeOverride" Target="../theme/themeOverride3.xml"/><Relationship Id="rId1" Type="http://schemas.openxmlformats.org/officeDocument/2006/relationships/package" Target="../embeddings/Workbook2.xlsx"/></Relationships>
</file>

<file path=word/charts/_rels/chart4.xml.rels><?xml version="1.0" encoding="UTF-8" standalone="yes"?>
<Relationships xmlns="http://schemas.openxmlformats.org/package/2006/relationships"><Relationship Id="rId4" Type="http://schemas.microsoft.com/office/2011/relationships/chartColorStyle" Target="colors2.xml"/><Relationship Id="rId3" Type="http://schemas.microsoft.com/office/2011/relationships/chartStyle" Target="style2.xml"/><Relationship Id="rId2" Type="http://schemas.openxmlformats.org/officeDocument/2006/relationships/themeOverride" Target="../theme/themeOverride2.xml"/><Relationship Id="rId1" Type="http://schemas.openxmlformats.org/officeDocument/2006/relationships/oleObject" Target="file:///C:\Users\Ms%20Konya\Desktop\SongsData\DataFiles\songs.csv" TargetMode="External"/></Relationships>
</file>

<file path=word/charts/_rels/chart5.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dLbls>
            <c:delete val="1"/>
          </c:dLbls>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ser>
        <c:dLbls>
          <c:showLegendKey val="0"/>
          <c:showVal val="0"/>
          <c:showCatName val="0"/>
          <c:showSerName val="0"/>
          <c:showPercent val="0"/>
          <c:showBubbleSize val="0"/>
        </c:dLbls>
        <c:gapWidth val="219"/>
        <c:overlap val="-27"/>
        <c:axId val="406795375"/>
        <c:axId val="406796207"/>
      </c:barChart>
      <c:catAx>
        <c:axId val="406795375"/>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6796207"/>
        <c:crosses val="autoZero"/>
        <c:auto val="1"/>
        <c:lblAlgn val="ctr"/>
        <c:lblOffset val="100"/>
        <c:noMultiLvlLbl val="0"/>
      </c:catAx>
      <c:valAx>
        <c:axId val="40679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67953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dLbls>
            <c:delete val="1"/>
          </c:dLbls>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ser>
        <c:dLbls>
          <c:showLegendKey val="0"/>
          <c:showVal val="0"/>
          <c:showCatName val="0"/>
          <c:showSerName val="0"/>
          <c:showPercent val="0"/>
          <c:showBubbleSize val="0"/>
        </c:dLbls>
        <c:gapWidth val="219"/>
        <c:overlap val="-27"/>
        <c:axId val="454912095"/>
        <c:axId val="454912511"/>
      </c:barChart>
      <c:catAx>
        <c:axId val="45491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4912511"/>
        <c:crosses val="autoZero"/>
        <c:auto val="1"/>
        <c:lblAlgn val="ctr"/>
        <c:lblOffset val="100"/>
        <c:noMultiLvlLbl val="0"/>
      </c:catAx>
      <c:valAx>
        <c:axId val="454912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491209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[songs.csv]Sheet4!PivotTable2</c:name>
    <c:fmtId val="-1"/>
  </c:pivotSource>
  <c:chart>
    <c:autoTitleDeleted val="1"/>
    <c:plotArea>
      <c:layout/>
      <c:barChart>
        <c:barDir val="col"/>
        <c:grouping val="clustered"/>
        <c:varyColors val="0"/>
        <c:ser>
          <c:idx val="0"/>
          <c:order val="0"/>
          <c:tx>
            <c:strRef>
              <c:f>Sheet4!$B$3</c:f>
              <c:strCache>
                <c:ptCount val="1"/>
                <c:pt idx="0">
                  <c:v>Sum of First Decade Releases</c:v>
                </c:pt>
              </c:strCache>
            </c:strRef>
          </c:tx>
          <c:spPr>
            <a:solidFill>
              <a:schemeClr val="accent1"/>
            </a:solidFill>
            <a:ln>
              <a:noFill/>
            </a:ln>
            <a:effectLst/>
          </c:spPr>
          <c:invertIfNegative val="0"/>
          <c:dLbls>
            <c:delete val="1"/>
          </c:dLbls>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ser>
        <c:ser>
          <c:idx val="1"/>
          <c:order val="1"/>
          <c:tx>
            <c:strRef>
              <c:f>Sheet4!$C$3</c:f>
              <c:strCache>
                <c:ptCount val="1"/>
                <c:pt idx="0">
                  <c:v>Sum of Second Decade Releases</c:v>
                </c:pt>
              </c:strCache>
            </c:strRef>
          </c:tx>
          <c:spPr>
            <a:solidFill>
              <a:schemeClr val="accent2"/>
            </a:solidFill>
            <a:ln>
              <a:noFill/>
            </a:ln>
            <a:effectLst/>
          </c:spPr>
          <c:invertIfNegative val="0"/>
          <c:dLbls>
            <c:delete val="1"/>
          </c:dLbls>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Sheet4!$C$4:$C$14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ser>
        <c:dLbls>
          <c:showLegendKey val="0"/>
          <c:showVal val="0"/>
          <c:showCatName val="0"/>
          <c:showSerName val="0"/>
          <c:showPercent val="0"/>
          <c:showBubbleSize val="0"/>
        </c:dLbls>
        <c:gapWidth val="219"/>
        <c:overlap val="-27"/>
        <c:axId val="467979247"/>
        <c:axId val="467977583"/>
      </c:barChart>
      <c:catAx>
        <c:axId val="467979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67977583"/>
        <c:crosses val="autoZero"/>
        <c:auto val="1"/>
        <c:lblAlgn val="ctr"/>
        <c:lblOffset val="100"/>
        <c:noMultiLvlLbl val="0"/>
      </c:catAx>
      <c:valAx>
        <c:axId val="467977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67979247"/>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[songs.csv]Sheet7!PivotTable3</c:name>
    <c:fmtId val="-1"/>
  </c:pivotSource>
  <c:chart>
    <c:autoTitleDeleted val="1"/>
    <c:plotArea>
      <c:layout/>
      <c:barChart>
        <c:barDir val="col"/>
        <c:grouping val="clustered"/>
        <c:varyColors val="0"/>
        <c:ser>
          <c:idx val="0"/>
          <c:order val="0"/>
          <c:tx>
            <c:strRef>
              <c:f>Sheet7!$B$3</c:f>
              <c:strCache>
                <c:ptCount val="1"/>
                <c:pt idx="0">
                  <c:v>Sum of First Decade Popularity</c:v>
                </c:pt>
              </c:strCache>
            </c:strRef>
          </c:tx>
          <c:spPr>
            <a:solidFill>
              <a:schemeClr val="accent1"/>
            </a:solidFill>
            <a:ln>
              <a:noFill/>
            </a:ln>
            <a:effectLst/>
          </c:spPr>
          <c:invertIfNegative val="0"/>
          <c:dLbls>
            <c:delete val="1"/>
          </c:dLbls>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Sheet7!$B$4:$B$14</c:f>
              <c:numCache>
                <c:formatCode>General</c:formatCode>
                <c:ptCount val="10"/>
                <c:pt idx="0">
                  <c:v>136816</c:v>
                </c:pt>
                <c:pt idx="1">
                  <c:v>130989</c:v>
                </c:pt>
                <c:pt idx="2">
                  <c:v>134882</c:v>
                </c:pt>
                <c:pt idx="3">
                  <c:v>129253</c:v>
                </c:pt>
                <c:pt idx="4">
                  <c:v>132678</c:v>
                </c:pt>
                <c:pt idx="5">
                  <c:v>129983</c:v>
                </c:pt>
                <c:pt idx="6">
                  <c:v>133671</c:v>
                </c:pt>
                <c:pt idx="7">
                  <c:v>132582</c:v>
                </c:pt>
                <c:pt idx="8">
                  <c:v>128671</c:v>
                </c:pt>
                <c:pt idx="9">
                  <c:v>129652</c:v>
                </c:pt>
              </c:numCache>
            </c:numRef>
          </c:val>
        </c:ser>
        <c:ser>
          <c:idx val="1"/>
          <c:order val="1"/>
          <c:tx>
            <c:strRef>
              <c:f>Sheet7!$C$3</c:f>
              <c:strCache>
                <c:ptCount val="1"/>
                <c:pt idx="0">
                  <c:v>Sum of Second Decade Popularity</c:v>
                </c:pt>
              </c:strCache>
            </c:strRef>
          </c:tx>
          <c:spPr>
            <a:solidFill>
              <a:schemeClr val="accent2"/>
            </a:solidFill>
            <a:ln>
              <a:noFill/>
            </a:ln>
            <a:effectLst/>
          </c:spPr>
          <c:invertIfNegative val="0"/>
          <c:dLbls>
            <c:delete val="1"/>
          </c:dLbls>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Sheet7!$C$4:$C$14</c:f>
              <c:numCache>
                <c:formatCode>General</c:formatCode>
                <c:ptCount val="10"/>
                <c:pt idx="0">
                  <c:v>115783</c:v>
                </c:pt>
                <c:pt idx="1">
                  <c:v>121022</c:v>
                </c:pt>
                <c:pt idx="2">
                  <c:v>125286</c:v>
                </c:pt>
                <c:pt idx="3">
                  <c:v>118127</c:v>
                </c:pt>
                <c:pt idx="4">
                  <c:v>118806</c:v>
                </c:pt>
                <c:pt idx="5">
                  <c:v>120082</c:v>
                </c:pt>
                <c:pt idx="6">
                  <c:v>119628</c:v>
                </c:pt>
                <c:pt idx="7">
                  <c:v>118188</c:v>
                </c:pt>
                <c:pt idx="8">
                  <c:v>122897</c:v>
                </c:pt>
                <c:pt idx="9">
                  <c:v>114196</c:v>
                </c:pt>
              </c:numCache>
            </c:numRef>
          </c:val>
        </c:ser>
        <c:dLbls>
          <c:showLegendKey val="0"/>
          <c:showVal val="0"/>
          <c:showCatName val="0"/>
          <c:showSerName val="0"/>
          <c:showPercent val="0"/>
          <c:showBubbleSize val="0"/>
        </c:dLbls>
        <c:gapWidth val="219"/>
        <c:overlap val="-27"/>
        <c:axId val="505916175"/>
        <c:axId val="505914927"/>
      </c:barChart>
      <c:catAx>
        <c:axId val="50591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5914927"/>
        <c:crosses val="autoZero"/>
        <c:auto val="1"/>
        <c:lblAlgn val="ctr"/>
        <c:lblOffset val="100"/>
        <c:noMultiLvlLbl val="0"/>
      </c:catAx>
      <c:valAx>
        <c:axId val="505914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59161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[songs.csv]Sheet9!PivotTable4</c:name>
    <c:fmtId val="-1"/>
  </c:pivotSource>
  <c:chart>
    <c:autoTitleDeleted val="1"/>
    <c:plotArea>
      <c:layout/>
      <c:barChart>
        <c:barDir val="col"/>
        <c:grouping val="clustered"/>
        <c:varyColors val="0"/>
        <c:ser>
          <c:idx val="0"/>
          <c:order val="0"/>
          <c:tx>
            <c:strRef>
              <c:f>Sheet9!$B$3</c:f>
              <c:strCache>
                <c:ptCount val="1"/>
                <c:pt idx="0">
                  <c:v>Sum of Duration in Minutes</c:v>
                </c:pt>
              </c:strCache>
            </c:strRef>
          </c:tx>
          <c:spPr>
            <a:solidFill>
              <a:schemeClr val="accent1"/>
            </a:solidFill>
            <a:ln>
              <a:noFill/>
            </a:ln>
            <a:effectLst/>
          </c:spPr>
          <c:invertIfNegative val="0"/>
          <c:dLbls>
            <c:delete val="1"/>
          </c:dLbls>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Sheet9!$B$4:$B$24</c:f>
              <c:numCache>
                <c:formatCode>General</c:formatCode>
                <c:ptCount val="20"/>
                <c:pt idx="0">
                  <c:v>262</c:v>
                </c:pt>
                <c:pt idx="1">
                  <c:v>187</c:v>
                </c:pt>
                <c:pt idx="2">
                  <c:v>212</c:v>
                </c:pt>
                <c:pt idx="3">
                  <c:v>272</c:v>
                </c:pt>
                <c:pt idx="4">
                  <c:v>131</c:v>
                </c:pt>
                <c:pt idx="5">
                  <c:v>207</c:v>
                </c:pt>
                <c:pt idx="6">
                  <c:v>163</c:v>
                </c:pt>
                <c:pt idx="7">
                  <c:v>183</c:v>
                </c:pt>
                <c:pt idx="8">
                  <c:v>243</c:v>
                </c:pt>
                <c:pt idx="9">
                  <c:v>177</c:v>
                </c:pt>
                <c:pt idx="10">
                  <c:v>245</c:v>
                </c:pt>
                <c:pt idx="11">
                  <c:v>191</c:v>
                </c:pt>
                <c:pt idx="12">
                  <c:v>145</c:v>
                </c:pt>
                <c:pt idx="13">
                  <c:v>282</c:v>
                </c:pt>
                <c:pt idx="14">
                  <c:v>267</c:v>
                </c:pt>
                <c:pt idx="15">
                  <c:v>226</c:v>
                </c:pt>
                <c:pt idx="16">
                  <c:v>136</c:v>
                </c:pt>
                <c:pt idx="17">
                  <c:v>217</c:v>
                </c:pt>
                <c:pt idx="18">
                  <c:v>255</c:v>
                </c:pt>
                <c:pt idx="19">
                  <c:v>243</c:v>
                </c:pt>
              </c:numCache>
            </c:numRef>
          </c:val>
        </c:ser>
        <c:ser>
          <c:idx val="1"/>
          <c:order val="1"/>
          <c:tx>
            <c:strRef>
              <c:f>Sheet9!$C$3</c:f>
              <c:strCache>
                <c:ptCount val="1"/>
                <c:pt idx="0">
                  <c:v>Sum of Popularity</c:v>
                </c:pt>
              </c:strCache>
            </c:strRef>
          </c:tx>
          <c:spPr>
            <a:solidFill>
              <a:schemeClr val="accent2"/>
            </a:solidFill>
            <a:ln>
              <a:noFill/>
            </a:ln>
            <a:effectLst/>
          </c:spPr>
          <c:invertIfNegative val="0"/>
          <c:dLbls>
            <c:delete val="1"/>
          </c:dLbls>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Sheet9!$C$4:$C$24</c:f>
              <c:numCache>
                <c:formatCode>General</c:formatCode>
                <c:ptCount val="20"/>
                <c:pt idx="0">
                  <c:v>71</c:v>
                </c:pt>
                <c:pt idx="1">
                  <c:v>37</c:v>
                </c:pt>
                <c:pt idx="2">
                  <c:v>58</c:v>
                </c:pt>
                <c:pt idx="3">
                  <c:v>59</c:v>
                </c:pt>
                <c:pt idx="4">
                  <c:v>34</c:v>
                </c:pt>
                <c:pt idx="5">
                  <c:v>58</c:v>
                </c:pt>
                <c:pt idx="6">
                  <c:v>72</c:v>
                </c:pt>
                <c:pt idx="7">
                  <c:v>73</c:v>
                </c:pt>
                <c:pt idx="8">
                  <c:v>69</c:v>
                </c:pt>
                <c:pt idx="9">
                  <c:v>55</c:v>
                </c:pt>
                <c:pt idx="10">
                  <c:v>76</c:v>
                </c:pt>
                <c:pt idx="11">
                  <c:v>97</c:v>
                </c:pt>
                <c:pt idx="12">
                  <c:v>92</c:v>
                </c:pt>
                <c:pt idx="13">
                  <c:v>99</c:v>
                </c:pt>
                <c:pt idx="14">
                  <c:v>97</c:v>
                </c:pt>
                <c:pt idx="15">
                  <c:v>36</c:v>
                </c:pt>
                <c:pt idx="16">
                  <c:v>98</c:v>
                </c:pt>
                <c:pt idx="17">
                  <c:v>89</c:v>
                </c:pt>
                <c:pt idx="18">
                  <c:v>75</c:v>
                </c:pt>
                <c:pt idx="19">
                  <c:v>48</c:v>
                </c:pt>
              </c:numCache>
            </c:numRef>
          </c:val>
        </c:ser>
        <c:dLbls>
          <c:showLegendKey val="0"/>
          <c:showVal val="0"/>
          <c:showCatName val="0"/>
          <c:showSerName val="0"/>
          <c:showPercent val="0"/>
          <c:showBubbleSize val="0"/>
        </c:dLbls>
        <c:gapWidth val="219"/>
        <c:overlap val="-27"/>
        <c:axId val="503736175"/>
        <c:axId val="503736591"/>
      </c:barChart>
      <c:catAx>
        <c:axId val="50373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3736591"/>
        <c:crosses val="autoZero"/>
        <c:auto val="1"/>
        <c:lblAlgn val="ctr"/>
        <c:lblOffset val="100"/>
        <c:noMultiLvlLbl val="0"/>
      </c:catAx>
      <c:valAx>
        <c:axId val="50373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37361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A1B5504532E41F4B35DD56527DE2B78"/>
        <w:style w:val=""/>
        <w:category>
          <w:name w:val="General"/>
          <w:gallery w:val="placeholder"/>
        </w:category>
        <w:types>
          <w:type w:val="bbPlcHdr"/>
        </w:types>
        <w:behaviors>
          <w:behavior w:val="content"/>
        </w:behaviors>
        <w:description w:val=""/>
        <w:guid w:val="{E89D1BE8-03A9-4647-A5C7-B0D98495B5F3}"/>
      </w:docPartPr>
      <w:docPartBody>
        <w:p w14:paraId="02D63C11">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
      <w:docPartPr>
        <w:name w:val="FF1504892D274DFC884B76920AAF1E72"/>
        <w:style w:val=""/>
        <w:category>
          <w:name w:val="General"/>
          <w:gallery w:val="placeholder"/>
        </w:category>
        <w:types>
          <w:type w:val="bbPlcHdr"/>
        </w:types>
        <w:behaviors>
          <w:behavior w:val="content"/>
        </w:behaviors>
        <w:description w:val=""/>
        <w:guid w:val="{919C30CE-E3FC-4E95-8174-30F13150DA3D}"/>
      </w:docPartPr>
      <w:docPartBody>
        <w:p w14:paraId="27D3C9B3">
          <w:pPr>
            <w:pStyle w:val="5"/>
          </w:pPr>
          <w:r>
            <w:rPr>
              <w:color w:val="4472C4"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21"/>
    <w:rsid w:val="005B15C6"/>
    <w:rsid w:val="00774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0A1B5504532E41F4B35DD56527DE2B78"/>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FF1504892D274DFC884B76920AAF1E7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05942FB94E92488DB4EA411DA805ADD2"/>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2024-07-01T00:00:00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GROUP 4</Company>
  <Pages>8</Pages>
  <Words>496</Words>
  <Characters>2828</Characters>
  <Lines>23</Lines>
  <Paragraphs>6</Paragraphs>
  <TotalTime>41</TotalTime>
  <ScaleCrop>false</ScaleCrop>
  <LinksUpToDate>false</LinksUpToDate>
  <CharactersWithSpaces>3318</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2024-07-26T07:21:00Z</dcterms:created>
  <dc:creator>Konya Quinn</dc:creator>
  <cp:lastModifiedBy>Ms Konya</cp:lastModifiedBy>
  <dcterms:modified xsi:type="dcterms:W3CDTF">2024-07-26T12:48:14Z</dcterms:modified>
  <dc:subject>JULY 1, 2024</dc:subject>
  <dc:title>Analysis of Song Duration and Popularity Across Musical Genres</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3C05402B47364CA7A36579197E78624C_12</vt:lpwstr>
  </property>
</Properties>
</file>